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4E8" w:rsidRPr="00872245" w:rsidRDefault="00872245" w:rsidP="00872245">
      <w:pPr>
        <w:jc w:val="center"/>
        <w:rPr>
          <w:b/>
          <w:sz w:val="36"/>
          <w:szCs w:val="36"/>
        </w:rPr>
      </w:pPr>
      <w:r w:rsidRPr="00872245">
        <w:rPr>
          <w:b/>
          <w:sz w:val="36"/>
          <w:szCs w:val="36"/>
        </w:rPr>
        <w:t xml:space="preserve">Pacing Guide for </w:t>
      </w:r>
      <w:r w:rsidR="00E44C01">
        <w:rPr>
          <w:b/>
          <w:sz w:val="36"/>
          <w:szCs w:val="36"/>
        </w:rPr>
        <w:t>Science</w:t>
      </w:r>
      <w:r w:rsidRPr="00872245">
        <w:rPr>
          <w:b/>
          <w:sz w:val="36"/>
          <w:szCs w:val="36"/>
        </w:rPr>
        <w:t>: Grade 2</w:t>
      </w:r>
    </w:p>
    <w:p w:rsidR="00872245" w:rsidRPr="003A2192" w:rsidRDefault="00872245" w:rsidP="00872245">
      <w:pPr>
        <w:jc w:val="center"/>
      </w:pPr>
      <w:r w:rsidRPr="003A2192">
        <w:t>The placement of the SOL suggests a time for introducing content at the assigned grade level. It is expected that teachers will spiral and scaffold their instruction of the boldface SOL through the year. Review of previous grade level content will be determined based on the needs of the students.</w:t>
      </w:r>
    </w:p>
    <w:tbl>
      <w:tblPr>
        <w:tblStyle w:val="TableGrid"/>
        <w:tblW w:w="0" w:type="auto"/>
        <w:tblLook w:val="04A0"/>
      </w:tblPr>
      <w:tblGrid>
        <w:gridCol w:w="1827"/>
        <w:gridCol w:w="3771"/>
        <w:gridCol w:w="3870"/>
        <w:gridCol w:w="1620"/>
        <w:gridCol w:w="2664"/>
      </w:tblGrid>
      <w:tr w:rsidR="00E44C01" w:rsidTr="003A2192">
        <w:tc>
          <w:tcPr>
            <w:tcW w:w="1827" w:type="dxa"/>
            <w:shd w:val="clear" w:color="auto" w:fill="9FFDB1"/>
          </w:tcPr>
          <w:p w:rsidR="00E44C01" w:rsidRPr="001E6300" w:rsidRDefault="00E44C01" w:rsidP="002D5C4D">
            <w:pPr>
              <w:rPr>
                <w:b/>
                <w:sz w:val="28"/>
                <w:szCs w:val="28"/>
              </w:rPr>
            </w:pPr>
            <w:r w:rsidRPr="001E6300">
              <w:rPr>
                <w:b/>
                <w:sz w:val="28"/>
                <w:szCs w:val="28"/>
              </w:rPr>
              <w:t>Time Frame</w:t>
            </w:r>
          </w:p>
        </w:tc>
        <w:tc>
          <w:tcPr>
            <w:tcW w:w="3771" w:type="dxa"/>
            <w:shd w:val="clear" w:color="auto" w:fill="9FFDB1"/>
          </w:tcPr>
          <w:p w:rsidR="00E44C01" w:rsidRPr="001E6300" w:rsidRDefault="00E44C01" w:rsidP="002D5C4D">
            <w:pPr>
              <w:rPr>
                <w:b/>
                <w:sz w:val="28"/>
                <w:szCs w:val="28"/>
              </w:rPr>
            </w:pPr>
            <w:r w:rsidRPr="001E6300">
              <w:rPr>
                <w:b/>
                <w:sz w:val="28"/>
                <w:szCs w:val="28"/>
              </w:rPr>
              <w:t>Reporting Category</w:t>
            </w:r>
          </w:p>
        </w:tc>
        <w:tc>
          <w:tcPr>
            <w:tcW w:w="3870" w:type="dxa"/>
            <w:shd w:val="clear" w:color="auto" w:fill="9FFDB1"/>
          </w:tcPr>
          <w:p w:rsidR="00E44C01" w:rsidRPr="001E6300" w:rsidRDefault="00E44C01" w:rsidP="002D5C4D">
            <w:pPr>
              <w:rPr>
                <w:b/>
                <w:sz w:val="28"/>
                <w:szCs w:val="28"/>
              </w:rPr>
            </w:pPr>
            <w:r>
              <w:rPr>
                <w:b/>
                <w:sz w:val="28"/>
                <w:szCs w:val="28"/>
              </w:rPr>
              <w:t>Unit of Study</w:t>
            </w:r>
          </w:p>
        </w:tc>
        <w:tc>
          <w:tcPr>
            <w:tcW w:w="1620" w:type="dxa"/>
            <w:shd w:val="clear" w:color="auto" w:fill="9FFDB1"/>
          </w:tcPr>
          <w:p w:rsidR="00E44C01" w:rsidRPr="001E6300" w:rsidRDefault="00E44C01" w:rsidP="002D5C4D">
            <w:pPr>
              <w:rPr>
                <w:b/>
                <w:sz w:val="28"/>
                <w:szCs w:val="28"/>
              </w:rPr>
            </w:pPr>
            <w:r>
              <w:rPr>
                <w:b/>
                <w:sz w:val="28"/>
                <w:szCs w:val="28"/>
              </w:rPr>
              <w:t>SOL</w:t>
            </w:r>
          </w:p>
        </w:tc>
        <w:tc>
          <w:tcPr>
            <w:tcW w:w="2664" w:type="dxa"/>
            <w:shd w:val="clear" w:color="auto" w:fill="9FFDB1"/>
          </w:tcPr>
          <w:p w:rsidR="00E44C01" w:rsidRPr="001E6300" w:rsidRDefault="00E44C01" w:rsidP="002D5C4D">
            <w:pPr>
              <w:rPr>
                <w:b/>
                <w:sz w:val="28"/>
                <w:szCs w:val="28"/>
              </w:rPr>
            </w:pPr>
            <w:r>
              <w:rPr>
                <w:b/>
                <w:sz w:val="28"/>
                <w:szCs w:val="28"/>
              </w:rPr>
              <w:t>Suggested Instructional Days</w:t>
            </w:r>
          </w:p>
        </w:tc>
      </w:tr>
      <w:tr w:rsidR="00E44C01" w:rsidTr="003A2192">
        <w:trPr>
          <w:trHeight w:val="1103"/>
        </w:trPr>
        <w:tc>
          <w:tcPr>
            <w:tcW w:w="1827" w:type="dxa"/>
            <w:vMerge w:val="restart"/>
          </w:tcPr>
          <w:p w:rsidR="00E44C01" w:rsidRPr="00872245" w:rsidRDefault="00E44C01" w:rsidP="002D5C4D">
            <w:pPr>
              <w:jc w:val="center"/>
              <w:rPr>
                <w:rFonts w:ascii="Century Gothic" w:hAnsi="Century Gothic"/>
                <w:b/>
                <w:sz w:val="36"/>
                <w:szCs w:val="36"/>
              </w:rPr>
            </w:pPr>
          </w:p>
          <w:p w:rsidR="00E44C01" w:rsidRPr="00872245" w:rsidRDefault="00E44C01" w:rsidP="002D5C4D">
            <w:pPr>
              <w:jc w:val="center"/>
              <w:rPr>
                <w:rFonts w:ascii="Century Gothic" w:hAnsi="Century Gothic"/>
                <w:b/>
                <w:sz w:val="36"/>
                <w:szCs w:val="36"/>
              </w:rPr>
            </w:pPr>
          </w:p>
          <w:p w:rsidR="00E44C01" w:rsidRPr="00872245" w:rsidRDefault="00E44C01" w:rsidP="002D5C4D">
            <w:pPr>
              <w:jc w:val="center"/>
              <w:rPr>
                <w:rFonts w:ascii="Century Gothic" w:hAnsi="Century Gothic"/>
                <w:b/>
                <w:sz w:val="36"/>
                <w:szCs w:val="36"/>
              </w:rPr>
            </w:pPr>
          </w:p>
          <w:p w:rsidR="00E44C01" w:rsidRPr="00872245" w:rsidRDefault="00E44C01" w:rsidP="002D5C4D">
            <w:pPr>
              <w:jc w:val="center"/>
              <w:rPr>
                <w:rFonts w:ascii="Century Gothic" w:hAnsi="Century Gothic"/>
                <w:b/>
                <w:sz w:val="36"/>
                <w:szCs w:val="36"/>
              </w:rPr>
            </w:pPr>
            <w:r w:rsidRPr="00872245">
              <w:rPr>
                <w:rFonts w:ascii="Century Gothic" w:hAnsi="Century Gothic"/>
                <w:b/>
                <w:sz w:val="36"/>
                <w:szCs w:val="36"/>
              </w:rPr>
              <w:t>1st</w:t>
            </w:r>
          </w:p>
          <w:p w:rsidR="00E44C01" w:rsidRPr="00872245" w:rsidRDefault="00E44C01" w:rsidP="002D5C4D">
            <w:pPr>
              <w:jc w:val="center"/>
              <w:rPr>
                <w:rFonts w:ascii="Century Gothic" w:hAnsi="Century Gothic"/>
                <w:b/>
                <w:sz w:val="36"/>
                <w:szCs w:val="36"/>
              </w:rPr>
            </w:pPr>
            <w:r w:rsidRPr="00872245">
              <w:rPr>
                <w:rFonts w:ascii="Century Gothic" w:hAnsi="Century Gothic"/>
                <w:b/>
                <w:sz w:val="36"/>
                <w:szCs w:val="36"/>
              </w:rPr>
              <w:t>Semester</w:t>
            </w:r>
          </w:p>
        </w:tc>
        <w:tc>
          <w:tcPr>
            <w:tcW w:w="3771" w:type="dxa"/>
          </w:tcPr>
          <w:p w:rsidR="00E44C01" w:rsidRPr="00E44C01" w:rsidRDefault="00E44C01" w:rsidP="002D5C4D">
            <w:pPr>
              <w:rPr>
                <w:b/>
              </w:rPr>
            </w:pPr>
            <w:r w:rsidRPr="00E44C01">
              <w:rPr>
                <w:b/>
              </w:rPr>
              <w:t xml:space="preserve">Scientific Investigations, Reasoning, and Logic </w:t>
            </w:r>
          </w:p>
          <w:p w:rsidR="00E44C01" w:rsidRDefault="00E44C01" w:rsidP="002D5C4D">
            <w:r>
              <w:t xml:space="preserve">Earth/Space Systems and Cycles </w:t>
            </w:r>
          </w:p>
          <w:p w:rsidR="00E44C01" w:rsidRDefault="00E44C01" w:rsidP="002D5C4D"/>
          <w:p w:rsidR="00E44C01" w:rsidRDefault="00E44C01" w:rsidP="002D5C4D">
            <w:r>
              <w:t>Earth/Space Systems and Cycles</w:t>
            </w:r>
          </w:p>
          <w:p w:rsidR="00E44C01" w:rsidRPr="001E6300" w:rsidRDefault="00E44C01" w:rsidP="002D5C4D"/>
        </w:tc>
        <w:tc>
          <w:tcPr>
            <w:tcW w:w="3870" w:type="dxa"/>
          </w:tcPr>
          <w:p w:rsidR="00E44C01" w:rsidRPr="00E44C01" w:rsidRDefault="00E44C01" w:rsidP="002D5C4D">
            <w:pPr>
              <w:rPr>
                <w:b/>
              </w:rPr>
            </w:pPr>
            <w:r w:rsidRPr="00E44C01">
              <w:rPr>
                <w:b/>
              </w:rPr>
              <w:t xml:space="preserve">Scientific Investigations </w:t>
            </w:r>
          </w:p>
          <w:p w:rsidR="00E44C01" w:rsidRDefault="00E44C01" w:rsidP="002D5C4D"/>
          <w:p w:rsidR="00E44C01" w:rsidRDefault="00E44C01" w:rsidP="002D5C4D">
            <w:r>
              <w:t xml:space="preserve">Weather </w:t>
            </w:r>
          </w:p>
          <w:p w:rsidR="00E44C01" w:rsidRDefault="00E44C01" w:rsidP="002D5C4D"/>
          <w:p w:rsidR="00E44C01" w:rsidRDefault="00E44C01" w:rsidP="002D5C4D">
            <w:r>
              <w:t>Seasonal Changes (Weathering and Erosion)</w:t>
            </w:r>
          </w:p>
          <w:p w:rsidR="003A2192" w:rsidRPr="001E6300" w:rsidRDefault="003A2192" w:rsidP="002D5C4D"/>
        </w:tc>
        <w:tc>
          <w:tcPr>
            <w:tcW w:w="1620" w:type="dxa"/>
          </w:tcPr>
          <w:p w:rsidR="00E44C01" w:rsidRPr="00E44C01" w:rsidRDefault="00E44C01" w:rsidP="002D5C4D">
            <w:pPr>
              <w:rPr>
                <w:b/>
              </w:rPr>
            </w:pPr>
            <w:r w:rsidRPr="00E44C01">
              <w:rPr>
                <w:b/>
              </w:rPr>
              <w:t xml:space="preserve">2.1 a-d, g-m </w:t>
            </w:r>
          </w:p>
          <w:p w:rsidR="00E44C01" w:rsidRDefault="00E44C01" w:rsidP="002D5C4D"/>
          <w:p w:rsidR="00E44C01" w:rsidRDefault="00E44C01" w:rsidP="002D5C4D">
            <w:r>
              <w:t xml:space="preserve">2.6 a-c </w:t>
            </w:r>
          </w:p>
          <w:p w:rsidR="00E44C01" w:rsidRDefault="00E44C01" w:rsidP="002D5C4D"/>
          <w:p w:rsidR="00E44C01" w:rsidRPr="001E6300" w:rsidRDefault="00E44C01" w:rsidP="002D5C4D">
            <w:r>
              <w:t>2.7 b</w:t>
            </w:r>
          </w:p>
        </w:tc>
        <w:tc>
          <w:tcPr>
            <w:tcW w:w="2664" w:type="dxa"/>
          </w:tcPr>
          <w:p w:rsidR="00E44C01" w:rsidRPr="00E44C01" w:rsidRDefault="00E44C01" w:rsidP="002D5C4D">
            <w:pPr>
              <w:rPr>
                <w:b/>
              </w:rPr>
            </w:pPr>
            <w:r w:rsidRPr="00E44C01">
              <w:rPr>
                <w:b/>
              </w:rPr>
              <w:t xml:space="preserve">Ongoing </w:t>
            </w:r>
          </w:p>
          <w:p w:rsidR="00E44C01" w:rsidRDefault="00E44C01" w:rsidP="002D5C4D"/>
          <w:p w:rsidR="00E44C01" w:rsidRDefault="00E44C01" w:rsidP="002D5C4D">
            <w:r>
              <w:t xml:space="preserve">3 weeks </w:t>
            </w:r>
          </w:p>
          <w:p w:rsidR="00E44C01" w:rsidRDefault="00E44C01" w:rsidP="002D5C4D"/>
          <w:p w:rsidR="00E44C01" w:rsidRPr="001E6300" w:rsidRDefault="00E44C01" w:rsidP="002D5C4D">
            <w:r>
              <w:t>2 weeks</w:t>
            </w:r>
          </w:p>
        </w:tc>
      </w:tr>
      <w:tr w:rsidR="00E44C01" w:rsidTr="003A2192">
        <w:trPr>
          <w:trHeight w:val="1102"/>
        </w:trPr>
        <w:tc>
          <w:tcPr>
            <w:tcW w:w="1827" w:type="dxa"/>
            <w:vMerge/>
          </w:tcPr>
          <w:p w:rsidR="00E44C01" w:rsidRPr="00872245" w:rsidRDefault="00E44C01" w:rsidP="002D5C4D">
            <w:pPr>
              <w:jc w:val="center"/>
              <w:rPr>
                <w:rFonts w:ascii="Century Gothic" w:hAnsi="Century Gothic"/>
                <w:b/>
                <w:sz w:val="36"/>
                <w:szCs w:val="36"/>
              </w:rPr>
            </w:pPr>
          </w:p>
        </w:tc>
        <w:tc>
          <w:tcPr>
            <w:tcW w:w="3771" w:type="dxa"/>
          </w:tcPr>
          <w:p w:rsidR="00E44C01" w:rsidRDefault="00E44C01" w:rsidP="002D5C4D">
            <w:r>
              <w:t xml:space="preserve">Life Processes and Living Systems </w:t>
            </w:r>
          </w:p>
          <w:p w:rsidR="00E44C01" w:rsidRDefault="00E44C01" w:rsidP="002D5C4D"/>
          <w:p w:rsidR="00E44C01" w:rsidRPr="001E6300" w:rsidRDefault="00E44C01" w:rsidP="002D5C4D">
            <w:r>
              <w:t>Earth/Space Systems and Cycles</w:t>
            </w:r>
          </w:p>
        </w:tc>
        <w:tc>
          <w:tcPr>
            <w:tcW w:w="3870" w:type="dxa"/>
          </w:tcPr>
          <w:p w:rsidR="00E44C01" w:rsidRDefault="00E44C01" w:rsidP="002D5C4D">
            <w:r>
              <w:t xml:space="preserve">Habitats </w:t>
            </w:r>
          </w:p>
          <w:p w:rsidR="00E44C01" w:rsidRDefault="00E44C01" w:rsidP="002D5C4D"/>
          <w:p w:rsidR="00E44C01" w:rsidRPr="001E6300" w:rsidRDefault="00E44C01" w:rsidP="002D5C4D">
            <w:r>
              <w:t>Seasonal Changes (animal and plant life)</w:t>
            </w:r>
          </w:p>
        </w:tc>
        <w:tc>
          <w:tcPr>
            <w:tcW w:w="1620" w:type="dxa"/>
          </w:tcPr>
          <w:p w:rsidR="00E44C01" w:rsidRDefault="00E44C01" w:rsidP="002D5C4D">
            <w:r>
              <w:t xml:space="preserve">2.5 a-d </w:t>
            </w:r>
          </w:p>
          <w:p w:rsidR="00E44C01" w:rsidRDefault="00E44C01" w:rsidP="002D5C4D"/>
          <w:p w:rsidR="00E44C01" w:rsidRPr="001E6300" w:rsidRDefault="00E44C01" w:rsidP="002D5C4D">
            <w:r>
              <w:t>2.7 a</w:t>
            </w:r>
          </w:p>
        </w:tc>
        <w:tc>
          <w:tcPr>
            <w:tcW w:w="2664" w:type="dxa"/>
          </w:tcPr>
          <w:p w:rsidR="00E44C01" w:rsidRDefault="00E44C01" w:rsidP="002D5C4D">
            <w:r>
              <w:t xml:space="preserve">3 weeks </w:t>
            </w:r>
          </w:p>
          <w:p w:rsidR="00E44C01" w:rsidRDefault="00E44C01" w:rsidP="002D5C4D"/>
          <w:p w:rsidR="00E44C01" w:rsidRPr="001E6300" w:rsidRDefault="00E44C01" w:rsidP="002D5C4D">
            <w:r>
              <w:t>2 weeks</w:t>
            </w:r>
          </w:p>
        </w:tc>
      </w:tr>
      <w:tr w:rsidR="00E44C01" w:rsidTr="003A2192">
        <w:trPr>
          <w:trHeight w:val="1328"/>
        </w:trPr>
        <w:tc>
          <w:tcPr>
            <w:tcW w:w="1827" w:type="dxa"/>
            <w:vMerge w:val="restart"/>
          </w:tcPr>
          <w:p w:rsidR="00E44C01" w:rsidRPr="00872245" w:rsidRDefault="00E44C01" w:rsidP="002D5C4D">
            <w:pPr>
              <w:jc w:val="center"/>
              <w:rPr>
                <w:rFonts w:ascii="Century Gothic" w:hAnsi="Century Gothic"/>
                <w:b/>
                <w:sz w:val="36"/>
                <w:szCs w:val="36"/>
              </w:rPr>
            </w:pPr>
          </w:p>
          <w:p w:rsidR="00E44C01" w:rsidRPr="00872245" w:rsidRDefault="00E44C01" w:rsidP="002D5C4D">
            <w:pPr>
              <w:jc w:val="center"/>
              <w:rPr>
                <w:rFonts w:ascii="Century Gothic" w:hAnsi="Century Gothic"/>
                <w:b/>
                <w:sz w:val="36"/>
                <w:szCs w:val="36"/>
              </w:rPr>
            </w:pPr>
          </w:p>
          <w:p w:rsidR="00E44C01" w:rsidRPr="00872245" w:rsidRDefault="00E44C01" w:rsidP="002D5C4D">
            <w:pPr>
              <w:jc w:val="center"/>
              <w:rPr>
                <w:rFonts w:ascii="Century Gothic" w:hAnsi="Century Gothic"/>
                <w:b/>
                <w:sz w:val="36"/>
                <w:szCs w:val="36"/>
              </w:rPr>
            </w:pPr>
          </w:p>
          <w:p w:rsidR="00E44C01" w:rsidRPr="00872245" w:rsidRDefault="00E44C01" w:rsidP="002D5C4D">
            <w:pPr>
              <w:jc w:val="center"/>
              <w:rPr>
                <w:rFonts w:ascii="Century Gothic" w:hAnsi="Century Gothic"/>
                <w:b/>
                <w:sz w:val="36"/>
                <w:szCs w:val="36"/>
              </w:rPr>
            </w:pPr>
          </w:p>
          <w:p w:rsidR="00E44C01" w:rsidRPr="00872245" w:rsidRDefault="00E44C01" w:rsidP="002D5C4D">
            <w:pPr>
              <w:jc w:val="center"/>
              <w:rPr>
                <w:rFonts w:ascii="Century Gothic" w:hAnsi="Century Gothic"/>
                <w:b/>
                <w:sz w:val="36"/>
                <w:szCs w:val="36"/>
              </w:rPr>
            </w:pPr>
            <w:r w:rsidRPr="00872245">
              <w:rPr>
                <w:rFonts w:ascii="Century Gothic" w:hAnsi="Century Gothic"/>
                <w:b/>
                <w:sz w:val="36"/>
                <w:szCs w:val="36"/>
              </w:rPr>
              <w:t>2nd</w:t>
            </w:r>
          </w:p>
          <w:p w:rsidR="00E44C01" w:rsidRPr="00872245" w:rsidRDefault="00E44C01" w:rsidP="002D5C4D">
            <w:pPr>
              <w:jc w:val="center"/>
              <w:rPr>
                <w:rFonts w:ascii="Century Gothic" w:hAnsi="Century Gothic"/>
                <w:b/>
                <w:sz w:val="36"/>
                <w:szCs w:val="36"/>
              </w:rPr>
            </w:pPr>
            <w:r w:rsidRPr="00872245">
              <w:rPr>
                <w:rFonts w:ascii="Century Gothic" w:hAnsi="Century Gothic"/>
                <w:b/>
                <w:sz w:val="36"/>
                <w:szCs w:val="36"/>
              </w:rPr>
              <w:t>Semester</w:t>
            </w:r>
          </w:p>
        </w:tc>
        <w:tc>
          <w:tcPr>
            <w:tcW w:w="3771" w:type="dxa"/>
          </w:tcPr>
          <w:p w:rsidR="003A2192" w:rsidRPr="003A2192" w:rsidRDefault="00E44C01" w:rsidP="002D5C4D">
            <w:pPr>
              <w:rPr>
                <w:b/>
              </w:rPr>
            </w:pPr>
            <w:r w:rsidRPr="003A2192">
              <w:rPr>
                <w:b/>
              </w:rPr>
              <w:t xml:space="preserve">Scientific Investigations, Reasoning, and Logic </w:t>
            </w:r>
          </w:p>
          <w:p w:rsidR="003A2192" w:rsidRDefault="003A2192" w:rsidP="002D5C4D"/>
          <w:p w:rsidR="003A2192" w:rsidRDefault="00E44C01" w:rsidP="002D5C4D">
            <w:r>
              <w:t xml:space="preserve">Force, Motion, Energy and Matter </w:t>
            </w:r>
          </w:p>
          <w:p w:rsidR="003A2192" w:rsidRDefault="003A2192" w:rsidP="002D5C4D"/>
          <w:p w:rsidR="00E44C01" w:rsidRDefault="00E44C01" w:rsidP="002D5C4D">
            <w:r>
              <w:t>Force, Motion, Energy and Matter Life</w:t>
            </w:r>
          </w:p>
          <w:p w:rsidR="003A2192" w:rsidRPr="001E6300" w:rsidRDefault="003A2192" w:rsidP="002D5C4D"/>
        </w:tc>
        <w:tc>
          <w:tcPr>
            <w:tcW w:w="3870" w:type="dxa"/>
          </w:tcPr>
          <w:p w:rsidR="003A2192" w:rsidRPr="003A2192" w:rsidRDefault="00E44C01" w:rsidP="002D5C4D">
            <w:pPr>
              <w:rPr>
                <w:b/>
              </w:rPr>
            </w:pPr>
            <w:r w:rsidRPr="003A2192">
              <w:rPr>
                <w:b/>
              </w:rPr>
              <w:t xml:space="preserve">Scientific Investigation-time measurement </w:t>
            </w:r>
          </w:p>
          <w:p w:rsidR="003A2192" w:rsidRDefault="003A2192" w:rsidP="002D5C4D"/>
          <w:p w:rsidR="003A2192" w:rsidRDefault="00E44C01" w:rsidP="002D5C4D">
            <w:r>
              <w:t xml:space="preserve">Matter </w:t>
            </w:r>
          </w:p>
          <w:p w:rsidR="003A2192" w:rsidRDefault="003A2192" w:rsidP="002D5C4D"/>
          <w:p w:rsidR="00E44C01" w:rsidRPr="001E6300" w:rsidRDefault="00E44C01" w:rsidP="002D5C4D">
            <w:r>
              <w:t>Magnets</w:t>
            </w:r>
          </w:p>
        </w:tc>
        <w:tc>
          <w:tcPr>
            <w:tcW w:w="1620" w:type="dxa"/>
          </w:tcPr>
          <w:p w:rsidR="003A2192" w:rsidRPr="003A2192" w:rsidRDefault="00E44C01" w:rsidP="002D5C4D">
            <w:pPr>
              <w:rPr>
                <w:b/>
              </w:rPr>
            </w:pPr>
            <w:r w:rsidRPr="003A2192">
              <w:rPr>
                <w:b/>
              </w:rPr>
              <w:t xml:space="preserve">2.1 f </w:t>
            </w:r>
          </w:p>
          <w:p w:rsidR="003A2192" w:rsidRDefault="003A2192" w:rsidP="002D5C4D"/>
          <w:p w:rsidR="003A2192" w:rsidRDefault="00E44C01" w:rsidP="002D5C4D">
            <w:r>
              <w:t xml:space="preserve">2.3 a-c </w:t>
            </w:r>
          </w:p>
          <w:p w:rsidR="003A2192" w:rsidRDefault="003A2192" w:rsidP="002D5C4D"/>
          <w:p w:rsidR="00E44C01" w:rsidRPr="001E6300" w:rsidRDefault="00E44C01" w:rsidP="002D5C4D">
            <w:r>
              <w:t>2.2 a-b</w:t>
            </w:r>
          </w:p>
        </w:tc>
        <w:tc>
          <w:tcPr>
            <w:tcW w:w="2664" w:type="dxa"/>
          </w:tcPr>
          <w:p w:rsidR="003A2192" w:rsidRPr="003A2192" w:rsidRDefault="00E44C01" w:rsidP="002D5C4D">
            <w:pPr>
              <w:rPr>
                <w:b/>
              </w:rPr>
            </w:pPr>
            <w:r w:rsidRPr="003A2192">
              <w:rPr>
                <w:b/>
              </w:rPr>
              <w:t xml:space="preserve">Link Science and Math </w:t>
            </w:r>
          </w:p>
          <w:p w:rsidR="003A2192" w:rsidRDefault="003A2192" w:rsidP="002D5C4D"/>
          <w:p w:rsidR="003A2192" w:rsidRDefault="00E44C01" w:rsidP="002D5C4D">
            <w:r>
              <w:t xml:space="preserve">2 weeks </w:t>
            </w:r>
          </w:p>
          <w:p w:rsidR="003A2192" w:rsidRDefault="003A2192" w:rsidP="002D5C4D"/>
          <w:p w:rsidR="00E44C01" w:rsidRPr="001E6300" w:rsidRDefault="00E44C01" w:rsidP="002D5C4D">
            <w:r>
              <w:t>2 weeks</w:t>
            </w:r>
          </w:p>
        </w:tc>
      </w:tr>
      <w:tr w:rsidR="00E44C01" w:rsidTr="003A2192">
        <w:trPr>
          <w:trHeight w:val="1484"/>
        </w:trPr>
        <w:tc>
          <w:tcPr>
            <w:tcW w:w="1827" w:type="dxa"/>
            <w:vMerge/>
          </w:tcPr>
          <w:p w:rsidR="00E44C01" w:rsidRPr="00872245" w:rsidRDefault="00E44C01" w:rsidP="002D5C4D">
            <w:pPr>
              <w:jc w:val="center"/>
              <w:rPr>
                <w:rFonts w:ascii="Century Gothic" w:hAnsi="Century Gothic"/>
                <w:b/>
                <w:sz w:val="36"/>
                <w:szCs w:val="36"/>
              </w:rPr>
            </w:pPr>
          </w:p>
        </w:tc>
        <w:tc>
          <w:tcPr>
            <w:tcW w:w="3771" w:type="dxa"/>
          </w:tcPr>
          <w:p w:rsidR="003A2192" w:rsidRPr="003A2192" w:rsidRDefault="00E44C01" w:rsidP="002D5C4D">
            <w:pPr>
              <w:rPr>
                <w:b/>
              </w:rPr>
            </w:pPr>
            <w:r w:rsidRPr="003A2192">
              <w:rPr>
                <w:b/>
              </w:rPr>
              <w:t xml:space="preserve">Scientific Investigations, Reasoning, and Logic </w:t>
            </w:r>
          </w:p>
          <w:p w:rsidR="003A2192" w:rsidRDefault="00E44C01" w:rsidP="002D5C4D">
            <w:r>
              <w:t xml:space="preserve">Processes and Living Systems </w:t>
            </w:r>
          </w:p>
          <w:p w:rsidR="003A2192" w:rsidRDefault="003A2192" w:rsidP="002D5C4D"/>
          <w:p w:rsidR="00E44C01" w:rsidRDefault="00E44C01" w:rsidP="002D5C4D">
            <w:r>
              <w:t>Life Processes and Living Systems</w:t>
            </w:r>
          </w:p>
          <w:p w:rsidR="003A2192" w:rsidRPr="001E6300" w:rsidRDefault="003A2192" w:rsidP="002D5C4D"/>
        </w:tc>
        <w:tc>
          <w:tcPr>
            <w:tcW w:w="3870" w:type="dxa"/>
          </w:tcPr>
          <w:p w:rsidR="003A2192" w:rsidRPr="003A2192" w:rsidRDefault="00E44C01" w:rsidP="002D5C4D">
            <w:pPr>
              <w:rPr>
                <w:b/>
              </w:rPr>
            </w:pPr>
            <w:r w:rsidRPr="003A2192">
              <w:rPr>
                <w:b/>
              </w:rPr>
              <w:t xml:space="preserve">Scientific Investigations (Measurement) </w:t>
            </w:r>
          </w:p>
          <w:p w:rsidR="003A2192" w:rsidRDefault="003A2192" w:rsidP="002D5C4D"/>
          <w:p w:rsidR="003A2192" w:rsidRDefault="00E44C01" w:rsidP="002D5C4D">
            <w:r>
              <w:t xml:space="preserve">Life Cycles </w:t>
            </w:r>
          </w:p>
          <w:p w:rsidR="003A2192" w:rsidRDefault="003A2192" w:rsidP="002D5C4D"/>
          <w:p w:rsidR="00E44C01" w:rsidRPr="001E6300" w:rsidRDefault="00E44C01" w:rsidP="002D5C4D">
            <w:r>
              <w:t>Plant Resources</w:t>
            </w:r>
          </w:p>
        </w:tc>
        <w:tc>
          <w:tcPr>
            <w:tcW w:w="1620" w:type="dxa"/>
          </w:tcPr>
          <w:p w:rsidR="003A2192" w:rsidRPr="003A2192" w:rsidRDefault="00E44C01" w:rsidP="002D5C4D">
            <w:pPr>
              <w:rPr>
                <w:b/>
              </w:rPr>
            </w:pPr>
            <w:r w:rsidRPr="003A2192">
              <w:rPr>
                <w:b/>
              </w:rPr>
              <w:t xml:space="preserve">2.1 e </w:t>
            </w:r>
          </w:p>
          <w:p w:rsidR="003A2192" w:rsidRDefault="003A2192" w:rsidP="002D5C4D"/>
          <w:p w:rsidR="003A2192" w:rsidRDefault="00E44C01" w:rsidP="002D5C4D">
            <w:r>
              <w:t xml:space="preserve">2.4 a-b </w:t>
            </w:r>
          </w:p>
          <w:p w:rsidR="003A2192" w:rsidRDefault="003A2192" w:rsidP="002D5C4D"/>
          <w:p w:rsidR="00E44C01" w:rsidRPr="001E6300" w:rsidRDefault="00E44C01" w:rsidP="002D5C4D">
            <w:r>
              <w:t>2.8 a-d</w:t>
            </w:r>
          </w:p>
        </w:tc>
        <w:tc>
          <w:tcPr>
            <w:tcW w:w="2664" w:type="dxa"/>
          </w:tcPr>
          <w:p w:rsidR="003A2192" w:rsidRPr="003A2192" w:rsidRDefault="00E44C01" w:rsidP="002D5C4D">
            <w:pPr>
              <w:rPr>
                <w:b/>
              </w:rPr>
            </w:pPr>
            <w:r w:rsidRPr="003A2192">
              <w:rPr>
                <w:b/>
              </w:rPr>
              <w:t xml:space="preserve">Link Science and Math </w:t>
            </w:r>
          </w:p>
          <w:p w:rsidR="003A2192" w:rsidRDefault="003A2192" w:rsidP="002D5C4D"/>
          <w:p w:rsidR="003A2192" w:rsidRDefault="00E44C01" w:rsidP="002D5C4D">
            <w:r>
              <w:t xml:space="preserve">2 weeks </w:t>
            </w:r>
          </w:p>
          <w:p w:rsidR="003A2192" w:rsidRDefault="003A2192" w:rsidP="002D5C4D"/>
          <w:p w:rsidR="00E44C01" w:rsidRPr="001E6300" w:rsidRDefault="00E44C01" w:rsidP="002D5C4D">
            <w:r>
              <w:t>2 weeks</w:t>
            </w:r>
          </w:p>
        </w:tc>
      </w:tr>
    </w:tbl>
    <w:p w:rsidR="003A2192" w:rsidRDefault="003A2192" w:rsidP="00872245"/>
    <w:p w:rsidR="00872245" w:rsidRDefault="003A2192" w:rsidP="00872245">
      <w:pPr>
        <w:rPr>
          <w:sz w:val="24"/>
          <w:szCs w:val="24"/>
        </w:rPr>
      </w:pPr>
      <w:r>
        <w:t>*Standard 2.1 does not require a discrete unit to be taught on scientific investigation and the nature of science because the skills that make up the standard should be incorporated in all the other second grade science standards.</w:t>
      </w:r>
    </w:p>
    <w:p w:rsidR="00133170" w:rsidRPr="003A2192" w:rsidRDefault="00133170" w:rsidP="00872245">
      <w:pPr>
        <w:rPr>
          <w:b/>
          <w:sz w:val="24"/>
          <w:szCs w:val="24"/>
        </w:rPr>
      </w:pPr>
      <w:r w:rsidRPr="003A2192">
        <w:rPr>
          <w:b/>
          <w:sz w:val="24"/>
          <w:szCs w:val="24"/>
        </w:rPr>
        <w:t>Gil</w:t>
      </w:r>
      <w:r w:rsidR="00DE05BC">
        <w:rPr>
          <w:b/>
          <w:sz w:val="24"/>
          <w:szCs w:val="24"/>
        </w:rPr>
        <w:t>es County Public Schools 2018/19</w:t>
      </w:r>
      <w:r w:rsidRPr="003A2192">
        <w:rPr>
          <w:b/>
          <w:sz w:val="24"/>
          <w:szCs w:val="24"/>
        </w:rPr>
        <w:t xml:space="preserve"> – Heather Munsey</w:t>
      </w:r>
    </w:p>
    <w:sectPr w:rsidR="00133170" w:rsidRPr="003A2192" w:rsidSect="00133170">
      <w:pgSz w:w="15840" w:h="12240" w:orient="landscape"/>
      <w:pgMar w:top="864" w:right="1152" w:bottom="43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872245"/>
    <w:rsid w:val="00133170"/>
    <w:rsid w:val="003A2192"/>
    <w:rsid w:val="00564552"/>
    <w:rsid w:val="00872245"/>
    <w:rsid w:val="00B74731"/>
    <w:rsid w:val="00DE05BC"/>
    <w:rsid w:val="00E44C01"/>
    <w:rsid w:val="00E574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4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2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3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3</cp:revision>
  <dcterms:created xsi:type="dcterms:W3CDTF">2017-06-22T11:23:00Z</dcterms:created>
  <dcterms:modified xsi:type="dcterms:W3CDTF">2018-07-11T15:05:00Z</dcterms:modified>
</cp:coreProperties>
</file>